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>Exploratory Factor Analysis (EFA) for EA</w:t>
      </w:r>
    </w:p>
    <w:p>
      <w:pPr>
        <w:spacing w:beforeLines="0" w:afterLines="0"/>
        <w:jc w:val="left"/>
        <w:rPr>
          <w:rFonts w:hint="default" w:ascii="Times New Roman" w:hAnsi="Times New Roman" w:cs="Times New Roman"/>
          <w:sz w:val="21"/>
          <w:szCs w:val="21"/>
        </w:rPr>
      </w:pPr>
    </w:p>
    <w:tbl>
      <w:tblPr>
        <w:tblStyle w:val="5"/>
        <w:tblW w:w="594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1"/>
        <w:gridCol w:w="2351"/>
        <w:gridCol w:w="11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947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KMO and Bartlett's Test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842" w:type="dxa"/>
            <w:gridSpan w:val="2"/>
            <w:tcBorders>
              <w:top w:val="single" w:color="000000" w:sz="16" w:space="0"/>
              <w:left w:val="single" w:color="000000" w:sz="1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Kaiser-Meyer-Olkin Measure of Sampling Adequacy.</w:t>
            </w:r>
          </w:p>
        </w:tc>
        <w:tc>
          <w:tcPr>
            <w:tcW w:w="1105" w:type="dxa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.823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491" w:type="dxa"/>
            <w:vMerge w:val="restart"/>
            <w:tcBorders>
              <w:top w:val="nil"/>
              <w:left w:val="single" w:color="000000" w:sz="16" w:space="0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Bartlett's Test of Sphericity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Approx. Chi-Square</w:t>
            </w:r>
          </w:p>
        </w:tc>
        <w:tc>
          <w:tcPr>
            <w:tcW w:w="1105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3996.414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491" w:type="dxa"/>
            <w:vMerge w:val="continue"/>
            <w:tcBorders>
              <w:top w:val="nil"/>
              <w:left w:val="single" w:color="000000" w:sz="16" w:space="0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df</w:t>
            </w:r>
          </w:p>
        </w:tc>
        <w:tc>
          <w:tcPr>
            <w:tcW w:w="1105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491" w:type="dxa"/>
            <w:vMerge w:val="continue"/>
            <w:tcBorders>
              <w:top w:val="nil"/>
              <w:left w:val="single" w:color="000000" w:sz="16" w:space="0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Sig.</w:t>
            </w:r>
          </w:p>
        </w:tc>
        <w:tc>
          <w:tcPr>
            <w:tcW w:w="1105" w:type="dxa"/>
            <w:tcBorders>
              <w:top w:val="nil"/>
              <w:left w:val="single" w:color="000000" w:sz="16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.000</w:t>
            </w:r>
          </w:p>
        </w:tc>
      </w:tr>
    </w:tbl>
    <w:p>
      <w:pPr>
        <w:spacing w:beforeLines="0" w:afterLines="0"/>
        <w:jc w:val="left"/>
        <w:rPr>
          <w:rFonts w:hint="default" w:ascii="Times New Roman" w:hAnsi="Times New Roman" w:cs="Times New Roman"/>
          <w:sz w:val="21"/>
          <w:szCs w:val="21"/>
        </w:rPr>
      </w:pPr>
    </w:p>
    <w:tbl>
      <w:tblPr>
        <w:tblStyle w:val="5"/>
        <w:tblW w:w="940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727"/>
        <w:gridCol w:w="1020"/>
        <w:gridCol w:w="1030"/>
        <w:gridCol w:w="824"/>
        <w:gridCol w:w="1020"/>
        <w:gridCol w:w="1032"/>
        <w:gridCol w:w="792"/>
        <w:gridCol w:w="1020"/>
        <w:gridCol w:w="103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408" w:type="dxa"/>
            <w:gridSpan w:val="1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Total Variance Explained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vMerge w:val="restart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Component</w:t>
            </w:r>
          </w:p>
        </w:tc>
        <w:tc>
          <w:tcPr>
            <w:tcW w:w="2777" w:type="dxa"/>
            <w:gridSpan w:val="3"/>
            <w:tcBorders>
              <w:top w:val="single" w:color="000000" w:sz="16" w:space="0"/>
              <w:left w:val="single" w:color="000000" w:sz="16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Initial Eigenvalues</w:t>
            </w:r>
          </w:p>
        </w:tc>
        <w:tc>
          <w:tcPr>
            <w:tcW w:w="2876" w:type="dxa"/>
            <w:gridSpan w:val="3"/>
            <w:tcBorders>
              <w:top w:val="single" w:color="000000" w:sz="16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Extraction Sums of Squared Loadings</w:t>
            </w:r>
          </w:p>
        </w:tc>
        <w:tc>
          <w:tcPr>
            <w:tcW w:w="2843" w:type="dxa"/>
            <w:gridSpan w:val="3"/>
            <w:tcBorders>
              <w:top w:val="single" w:color="000000" w:sz="16" w:space="0"/>
              <w:left w:val="single" w:color="000000" w:sz="8" w:space="0"/>
              <w:bottom w:val="single" w:color="000000" w:sz="8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Rotation Sums of Squared Loadings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vMerge w:val="continue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single" w:color="000000" w:sz="8" w:space="0"/>
              <w:left w:val="single" w:color="000000" w:sz="16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% of Variance</w:t>
            </w:r>
          </w:p>
        </w:tc>
        <w:tc>
          <w:tcPr>
            <w:tcW w:w="1030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Cumulative %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% of Variance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Cumulative %</w:t>
            </w:r>
          </w:p>
        </w:tc>
        <w:tc>
          <w:tcPr>
            <w:tcW w:w="792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% of Variance</w:t>
            </w:r>
          </w:p>
        </w:tc>
        <w:tc>
          <w:tcPr>
            <w:tcW w:w="1031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Cumulative 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</w:tblPrEx>
        <w:trPr>
          <w:cantSplit/>
        </w:trPr>
        <w:tc>
          <w:tcPr>
            <w:tcW w:w="912" w:type="dxa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27" w:type="dxa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4.802</w:t>
            </w:r>
          </w:p>
        </w:tc>
        <w:tc>
          <w:tcPr>
            <w:tcW w:w="1020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43.658</w:t>
            </w:r>
          </w:p>
        </w:tc>
        <w:tc>
          <w:tcPr>
            <w:tcW w:w="1030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43.658</w:t>
            </w:r>
          </w:p>
        </w:tc>
        <w:tc>
          <w:tcPr>
            <w:tcW w:w="824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4.802</w:t>
            </w:r>
          </w:p>
        </w:tc>
        <w:tc>
          <w:tcPr>
            <w:tcW w:w="1020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43.658</w:t>
            </w:r>
          </w:p>
        </w:tc>
        <w:tc>
          <w:tcPr>
            <w:tcW w:w="1032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43.658</w:t>
            </w:r>
          </w:p>
        </w:tc>
        <w:tc>
          <w:tcPr>
            <w:tcW w:w="792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2.844</w:t>
            </w:r>
          </w:p>
        </w:tc>
        <w:tc>
          <w:tcPr>
            <w:tcW w:w="1020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25.856</w:t>
            </w:r>
          </w:p>
        </w:tc>
        <w:tc>
          <w:tcPr>
            <w:tcW w:w="1031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25.856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27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2.115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19.230</w:t>
            </w:r>
          </w:p>
        </w:tc>
        <w:tc>
          <w:tcPr>
            <w:tcW w:w="10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62.888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2.115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19.230</w:t>
            </w:r>
          </w:p>
        </w:tc>
        <w:tc>
          <w:tcPr>
            <w:tcW w:w="103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62.888</w:t>
            </w:r>
          </w:p>
        </w:tc>
        <w:tc>
          <w:tcPr>
            <w:tcW w:w="79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2.790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25.359</w:t>
            </w:r>
          </w:p>
        </w:tc>
        <w:tc>
          <w:tcPr>
            <w:tcW w:w="1031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51.215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27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1.182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10.747</w:t>
            </w:r>
          </w:p>
        </w:tc>
        <w:tc>
          <w:tcPr>
            <w:tcW w:w="10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73.635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1.182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10.747</w:t>
            </w:r>
          </w:p>
        </w:tc>
        <w:tc>
          <w:tcPr>
            <w:tcW w:w="103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73.635</w:t>
            </w:r>
          </w:p>
        </w:tc>
        <w:tc>
          <w:tcPr>
            <w:tcW w:w="79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2.466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22.420</w:t>
            </w:r>
          </w:p>
        </w:tc>
        <w:tc>
          <w:tcPr>
            <w:tcW w:w="1031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73.635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727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.722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6.568</w:t>
            </w:r>
          </w:p>
        </w:tc>
        <w:tc>
          <w:tcPr>
            <w:tcW w:w="10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80.203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727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.454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4.127</w:t>
            </w:r>
          </w:p>
        </w:tc>
        <w:tc>
          <w:tcPr>
            <w:tcW w:w="10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84.330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727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.418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3.798</w:t>
            </w:r>
          </w:p>
        </w:tc>
        <w:tc>
          <w:tcPr>
            <w:tcW w:w="10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88.128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727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.363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3.304</w:t>
            </w:r>
          </w:p>
        </w:tc>
        <w:tc>
          <w:tcPr>
            <w:tcW w:w="10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91.432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727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.309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2.811</w:t>
            </w:r>
          </w:p>
        </w:tc>
        <w:tc>
          <w:tcPr>
            <w:tcW w:w="10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94.243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</w:tblPrEx>
        <w:trPr>
          <w:cantSplit/>
        </w:trPr>
        <w:tc>
          <w:tcPr>
            <w:tcW w:w="912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727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.263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2.393</w:t>
            </w:r>
          </w:p>
        </w:tc>
        <w:tc>
          <w:tcPr>
            <w:tcW w:w="10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96.636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727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.194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1.761</w:t>
            </w:r>
          </w:p>
        </w:tc>
        <w:tc>
          <w:tcPr>
            <w:tcW w:w="10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98.397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12" w:type="dxa"/>
            <w:tcBorders>
              <w:top w:val="nil"/>
              <w:left w:val="single" w:color="000000" w:sz="16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727" w:type="dxa"/>
            <w:tcBorders>
              <w:top w:val="nil"/>
              <w:left w:val="single" w:color="000000" w:sz="16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.176</w:t>
            </w: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1.603</w:t>
            </w:r>
          </w:p>
        </w:tc>
        <w:tc>
          <w:tcPr>
            <w:tcW w:w="1030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100.000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408" w:type="dxa"/>
            <w:gridSpan w:val="1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Extraction Method: Principal Component Analysis.</w:t>
            </w:r>
          </w:p>
        </w:tc>
      </w:tr>
    </w:tbl>
    <w:p>
      <w:pPr>
        <w:spacing w:beforeLines="0" w:afterLines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drawing>
          <wp:inline distT="0" distB="0" distL="114300" distR="114300">
            <wp:extent cx="4515485" cy="3599815"/>
            <wp:effectExtent l="0" t="0" r="1841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548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left"/>
        <w:rPr>
          <w:rFonts w:hint="default" w:ascii="Times New Roman" w:hAnsi="Times New Roman" w:cs="Times New Roman"/>
          <w:sz w:val="21"/>
          <w:szCs w:val="21"/>
        </w:rPr>
      </w:pPr>
    </w:p>
    <w:tbl>
      <w:tblPr>
        <w:tblStyle w:val="5"/>
        <w:tblW w:w="454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0"/>
        <w:gridCol w:w="1029"/>
        <w:gridCol w:w="1029"/>
        <w:gridCol w:w="102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547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Rotated Component Matrix</w:t>
            </w:r>
            <w:r>
              <w:rPr>
                <w:rFonts w:hint="default" w:ascii="Times New Roman" w:hAnsi="Times New Roman" w:cs="Times New Roman"/>
                <w:b/>
                <w:sz w:val="21"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vMerge w:val="restart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87" w:type="dxa"/>
            <w:gridSpan w:val="3"/>
            <w:tcBorders>
              <w:top w:val="single" w:color="000000" w:sz="16" w:space="0"/>
              <w:left w:val="single" w:color="000000" w:sz="16" w:space="0"/>
              <w:bottom w:val="single" w:color="000000" w:sz="8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Component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vMerge w:val="continue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9" w:type="dxa"/>
            <w:tcBorders>
              <w:top w:val="single" w:color="000000" w:sz="8" w:space="0"/>
              <w:left w:val="single" w:color="000000" w:sz="16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witnessed1</w:t>
            </w:r>
          </w:p>
        </w:tc>
        <w:tc>
          <w:tcPr>
            <w:tcW w:w="1029" w:type="dxa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.813</w:t>
            </w:r>
          </w:p>
        </w:tc>
        <w:tc>
          <w:tcPr>
            <w:tcW w:w="1029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.227</w:t>
            </w:r>
          </w:p>
        </w:tc>
        <w:tc>
          <w:tcPr>
            <w:tcW w:w="1029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.081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witnessed2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.805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.345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.059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witnessed3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.820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.228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witnessed4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.750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.164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.020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encountered1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.331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.776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encountered2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.319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.816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.062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encountered3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.220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.826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.166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encountered4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.140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.734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.146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perceived1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.114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.111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.897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perceived2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.077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.122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.917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60" w:type="dxa"/>
            <w:tcBorders>
              <w:top w:val="nil"/>
              <w:left w:val="single" w:color="000000" w:sz="16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perceived3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.030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.150</w:t>
            </w:r>
          </w:p>
        </w:tc>
        <w:tc>
          <w:tcPr>
            <w:tcW w:w="1029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.853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547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Extraction Method: Principal Component Analysis. </w:t>
            </w:r>
          </w:p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Rotation Method: Varimax with Kaiser Normalization.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547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a. Rotation converged in 5 iterations.</w:t>
            </w:r>
          </w:p>
        </w:tc>
      </w:tr>
    </w:tbl>
    <w:p>
      <w:pPr>
        <w:spacing w:beforeLines="0" w:afterLines="0" w:line="400" w:lineRule="atLeast"/>
        <w:jc w:val="left"/>
        <w:rPr>
          <w:rFonts w:hint="default" w:ascii="Times New Roman" w:hAnsi="Times New Roman" w:eastAsia="Times New Roman" w:cs="Times New Roman"/>
          <w:sz w:val="21"/>
          <w:szCs w:val="21"/>
        </w:rPr>
      </w:pPr>
    </w:p>
    <w:p>
      <w:pPr>
        <w:spacing w:beforeLines="0" w:afterLines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drawing>
          <wp:inline distT="0" distB="0" distL="114300" distR="114300">
            <wp:extent cx="5046980" cy="4032250"/>
            <wp:effectExtent l="0" t="0" r="127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6980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Lines="0" w:afterLines="0"/>
        <w:jc w:val="left"/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>Exploratory Factor Analysis (EFA) for A</w:t>
      </w: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>S</w:t>
      </w:r>
    </w:p>
    <w:p>
      <w:pPr>
        <w:spacing w:beforeLines="0" w:afterLines="0"/>
        <w:rPr>
          <w:rFonts w:hint="default" w:ascii="Times New Roman" w:hAnsi="Times New Roman" w:cs="Times New Roman"/>
          <w:sz w:val="24"/>
        </w:rPr>
      </w:pPr>
    </w:p>
    <w:tbl>
      <w:tblPr>
        <w:tblStyle w:val="5"/>
        <w:tblW w:w="594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1"/>
        <w:gridCol w:w="2351"/>
        <w:gridCol w:w="11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947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KMO and Bartlett's Test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842" w:type="dxa"/>
            <w:gridSpan w:val="2"/>
            <w:tcBorders>
              <w:top w:val="single" w:color="000000" w:sz="16" w:space="0"/>
              <w:left w:val="single" w:color="000000" w:sz="1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Kaiser-Meyer-Olkin Measure of Sampling Adequacy.</w:t>
            </w:r>
          </w:p>
        </w:tc>
        <w:tc>
          <w:tcPr>
            <w:tcW w:w="1105" w:type="dxa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.717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491" w:type="dxa"/>
            <w:vMerge w:val="restart"/>
            <w:tcBorders>
              <w:top w:val="nil"/>
              <w:left w:val="single" w:color="000000" w:sz="16" w:space="0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Bartlett's Test of Sphericity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Approx. Chi-Square</w:t>
            </w:r>
          </w:p>
        </w:tc>
        <w:tc>
          <w:tcPr>
            <w:tcW w:w="1105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1187.635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491" w:type="dxa"/>
            <w:vMerge w:val="continue"/>
            <w:tcBorders>
              <w:top w:val="nil"/>
              <w:left w:val="single" w:color="000000" w:sz="16" w:space="0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df</w:t>
            </w:r>
          </w:p>
        </w:tc>
        <w:tc>
          <w:tcPr>
            <w:tcW w:w="1105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491" w:type="dxa"/>
            <w:vMerge w:val="continue"/>
            <w:tcBorders>
              <w:top w:val="nil"/>
              <w:left w:val="single" w:color="000000" w:sz="16" w:space="0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Sig.</w:t>
            </w:r>
          </w:p>
        </w:tc>
        <w:tc>
          <w:tcPr>
            <w:tcW w:w="1105" w:type="dxa"/>
            <w:tcBorders>
              <w:top w:val="nil"/>
              <w:left w:val="single" w:color="000000" w:sz="16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.000</w:t>
            </w:r>
          </w:p>
        </w:tc>
      </w:tr>
    </w:tbl>
    <w:p>
      <w:pPr>
        <w:spacing w:beforeLines="0" w:afterLines="0"/>
        <w:rPr>
          <w:rFonts w:hint="default" w:ascii="Times New Roman" w:hAnsi="Times New Roman" w:cs="Times New Roman"/>
          <w:sz w:val="21"/>
          <w:szCs w:val="21"/>
        </w:rPr>
      </w:pPr>
    </w:p>
    <w:tbl>
      <w:tblPr>
        <w:tblStyle w:val="5"/>
        <w:tblW w:w="929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1029"/>
        <w:gridCol w:w="1444"/>
        <w:gridCol w:w="1460"/>
        <w:gridCol w:w="1168"/>
        <w:gridCol w:w="1444"/>
        <w:gridCol w:w="14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296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Total Variance Explained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91" w:type="dxa"/>
            <w:vMerge w:val="restart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Component</w:t>
            </w:r>
          </w:p>
        </w:tc>
        <w:tc>
          <w:tcPr>
            <w:tcW w:w="3933" w:type="dxa"/>
            <w:gridSpan w:val="3"/>
            <w:tcBorders>
              <w:top w:val="single" w:color="000000" w:sz="16" w:space="0"/>
              <w:left w:val="single" w:color="000000" w:sz="16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Initial Eigenvalues</w:t>
            </w:r>
          </w:p>
        </w:tc>
        <w:tc>
          <w:tcPr>
            <w:tcW w:w="4072" w:type="dxa"/>
            <w:gridSpan w:val="3"/>
            <w:tcBorders>
              <w:top w:val="single" w:color="000000" w:sz="16" w:space="0"/>
              <w:left w:val="single" w:color="000000" w:sz="8" w:space="0"/>
              <w:bottom w:val="single" w:color="000000" w:sz="8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Extraction Sums of Squared Loadings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91" w:type="dxa"/>
            <w:vMerge w:val="continue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9" w:type="dxa"/>
            <w:tcBorders>
              <w:top w:val="single" w:color="000000" w:sz="8" w:space="0"/>
              <w:left w:val="single" w:color="000000" w:sz="16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1444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% of Variance</w:t>
            </w: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Cumulative %</w:t>
            </w:r>
          </w:p>
        </w:tc>
        <w:tc>
          <w:tcPr>
            <w:tcW w:w="1168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1444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% of Variance</w:t>
            </w: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Cumulative 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</w:tblPrEx>
        <w:trPr>
          <w:cantSplit/>
        </w:trPr>
        <w:tc>
          <w:tcPr>
            <w:tcW w:w="1291" w:type="dxa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29" w:type="dxa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2.694</w:t>
            </w:r>
          </w:p>
        </w:tc>
        <w:tc>
          <w:tcPr>
            <w:tcW w:w="1444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67.345</w:t>
            </w:r>
          </w:p>
        </w:tc>
        <w:tc>
          <w:tcPr>
            <w:tcW w:w="1460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67.345</w:t>
            </w:r>
          </w:p>
        </w:tc>
        <w:tc>
          <w:tcPr>
            <w:tcW w:w="1168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2.694</w:t>
            </w:r>
          </w:p>
        </w:tc>
        <w:tc>
          <w:tcPr>
            <w:tcW w:w="1444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67.345</w:t>
            </w:r>
          </w:p>
        </w:tc>
        <w:tc>
          <w:tcPr>
            <w:tcW w:w="1460" w:type="dxa"/>
            <w:tcBorders>
              <w:top w:val="single" w:color="000000" w:sz="16" w:space="0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67.345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91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.753</w:t>
            </w:r>
          </w:p>
        </w:tc>
        <w:tc>
          <w:tcPr>
            <w:tcW w:w="144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18.832</w:t>
            </w:r>
          </w:p>
        </w:tc>
        <w:tc>
          <w:tcPr>
            <w:tcW w:w="146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86.177</w:t>
            </w:r>
          </w:p>
        </w:tc>
        <w:tc>
          <w:tcPr>
            <w:tcW w:w="116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60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91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.325</w:t>
            </w:r>
          </w:p>
        </w:tc>
        <w:tc>
          <w:tcPr>
            <w:tcW w:w="144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8.117</w:t>
            </w:r>
          </w:p>
        </w:tc>
        <w:tc>
          <w:tcPr>
            <w:tcW w:w="146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94.294</w:t>
            </w:r>
          </w:p>
        </w:tc>
        <w:tc>
          <w:tcPr>
            <w:tcW w:w="116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60" w:type="dxa"/>
            <w:tcBorders>
              <w:top w:val="nil"/>
              <w:left w:val="single" w:color="000000" w:sz="8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91" w:type="dxa"/>
            <w:tcBorders>
              <w:top w:val="nil"/>
              <w:left w:val="single" w:color="000000" w:sz="16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029" w:type="dxa"/>
            <w:tcBorders>
              <w:top w:val="nil"/>
              <w:left w:val="single" w:color="000000" w:sz="16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.228</w:t>
            </w:r>
          </w:p>
        </w:tc>
        <w:tc>
          <w:tcPr>
            <w:tcW w:w="1444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5.706</w:t>
            </w:r>
          </w:p>
        </w:tc>
        <w:tc>
          <w:tcPr>
            <w:tcW w:w="1460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100.000</w:t>
            </w:r>
          </w:p>
        </w:tc>
        <w:tc>
          <w:tcPr>
            <w:tcW w:w="1168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4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60" w:type="dxa"/>
            <w:tcBorders>
              <w:top w:val="nil"/>
              <w:left w:val="single" w:color="000000" w:sz="8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296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Extraction Method: Principal Component Analysis.</w:t>
            </w:r>
          </w:p>
        </w:tc>
      </w:tr>
    </w:tbl>
    <w:p>
      <w:pPr>
        <w:spacing w:beforeLines="0" w:afterLines="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Lines="0" w:afterLines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drawing>
          <wp:inline distT="0" distB="0" distL="114300" distR="114300">
            <wp:extent cx="5400040" cy="4322445"/>
            <wp:effectExtent l="0" t="0" r="1016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2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/>
        <w:rPr>
          <w:rFonts w:hint="default" w:ascii="Times New Roman" w:hAnsi="Times New Roman" w:cs="Times New Roman"/>
          <w:sz w:val="21"/>
          <w:szCs w:val="21"/>
        </w:rPr>
      </w:pPr>
    </w:p>
    <w:tbl>
      <w:tblPr>
        <w:tblStyle w:val="5"/>
        <w:tblW w:w="202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129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028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Component Matrix</w:t>
            </w:r>
            <w:r>
              <w:rPr>
                <w:rFonts w:hint="default" w:ascii="Times New Roman" w:hAnsi="Times New Roman" w:cs="Times New Roman"/>
                <w:b/>
                <w:sz w:val="21"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37" w:type="dxa"/>
            <w:vMerge w:val="restart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color="000000" w:sz="16" w:space="0"/>
              <w:left w:val="single" w:color="000000" w:sz="16" w:space="0"/>
              <w:bottom w:val="single" w:color="000000" w:sz="8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Component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37" w:type="dxa"/>
            <w:vMerge w:val="continue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color="000000" w:sz="8" w:space="0"/>
              <w:left w:val="single" w:color="000000" w:sz="16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</w:tblPrEx>
        <w:trPr>
          <w:cantSplit/>
        </w:trPr>
        <w:tc>
          <w:tcPr>
            <w:tcW w:w="737" w:type="dxa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AS1</w:t>
            </w:r>
          </w:p>
        </w:tc>
        <w:tc>
          <w:tcPr>
            <w:tcW w:w="1291" w:type="dxa"/>
            <w:tcBorders>
              <w:top w:val="single" w:color="000000" w:sz="16" w:space="0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.840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37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AS2</w:t>
            </w:r>
          </w:p>
        </w:tc>
        <w:tc>
          <w:tcPr>
            <w:tcW w:w="1291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.860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37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AS3</w:t>
            </w:r>
          </w:p>
        </w:tc>
        <w:tc>
          <w:tcPr>
            <w:tcW w:w="1291" w:type="dxa"/>
            <w:tcBorders>
              <w:top w:val="nil"/>
              <w:left w:val="single" w:color="000000" w:sz="16" w:space="0"/>
              <w:bottom w:val="nil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.851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37" w:type="dxa"/>
            <w:tcBorders>
              <w:top w:val="nil"/>
              <w:left w:val="single" w:color="000000" w:sz="16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AS4</w:t>
            </w:r>
          </w:p>
        </w:tc>
        <w:tc>
          <w:tcPr>
            <w:tcW w:w="1291" w:type="dxa"/>
            <w:tcBorders>
              <w:top w:val="nil"/>
              <w:left w:val="single" w:color="000000" w:sz="16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right="6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.725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</w:tblPrEx>
        <w:trPr>
          <w:cantSplit/>
        </w:trPr>
        <w:tc>
          <w:tcPr>
            <w:tcW w:w="2028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Extraction Method: Principal Component Analysis.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028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a. 1 components extracted.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  <w:bookmarkStart w:id="0" w:name="_GoBack"/>
      <w:bookmarkEnd w:id="0"/>
    </w:p>
    <w:sectPr>
      <w:type w:val="continuous"/>
      <w:pgSz w:w="12242" w:h="15842"/>
      <w:pgMar w:top="1417" w:right="1417" w:bottom="1417" w:left="1417" w:header="720" w:footer="720" w:gutter="0"/>
      <w:lnNumType w:countBy="0" w:distance="360"/>
      <w:cols w:space="72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ngLiU">
    <w:panose1 w:val="02020509000000000000"/>
    <w:charset w:val="88"/>
    <w:family w:val="roman"/>
    <w:pitch w:val="default"/>
    <w:sig w:usb0="A00002FF" w:usb1="28CFFCFA" w:usb2="00000016" w:usb3="00000000" w:csb0="00100001" w:csb1="00000000"/>
  </w:font>
  <w:font w:name="Segoe Script">
    <w:panose1 w:val="020B0504020000000003"/>
    <w:charset w:val="00"/>
    <w:family w:val="auto"/>
    <w:pitch w:val="default"/>
    <w:sig w:usb0="0000028F" w:usb1="00000000" w:usb2="00000000" w:usb3="00000000" w:csb0="0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5F6AF5"/>
    <w:rsid w:val="1E9369EA"/>
    <w:rsid w:val="7D27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iPriority="99" w:semiHidden="0" w:name="Normal"/>
    <w:lsdException w:uiPriority="99" w:semiHidden="0" w:name="heading 1"/>
    <w:lsdException w:uiPriority="99" w:semiHidden="0" w:name="heading 2"/>
    <w:lsdException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/>
      <w:color w:val="000000"/>
      <w:sz w:val="20"/>
    </w:rPr>
  </w:style>
  <w:style w:type="paragraph" w:styleId="2">
    <w:name w:val="heading 1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/>
      <w:b/>
      <w:color w:val="000000"/>
      <w:sz w:val="32"/>
    </w:rPr>
  </w:style>
  <w:style w:type="paragraph" w:styleId="3">
    <w:name w:val="heading 2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/>
      <w:b/>
      <w:i/>
      <w:color w:val="000000"/>
      <w:sz w:val="28"/>
    </w:rPr>
  </w:style>
  <w:style w:type="paragraph" w:styleId="4">
    <w:name w:val="heading 3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/>
      <w:b/>
      <w:color w:val="000000"/>
      <w:sz w:val="2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2020-03-14T04:38:00Z</dcterms:created>
  <dc:creator>Administrator.2013-20160201VZ</dc:creator>
  <cp:lastModifiedBy>Administrator</cp:lastModifiedBy>
  <dcterms:modified xsi:type="dcterms:W3CDTF">2020-03-26T05:44:06Z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